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1"/>
        <w:gridCol w:w="5196"/>
        <w:gridCol w:w="194"/>
        <w:gridCol w:w="120"/>
        <w:gridCol w:w="409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2969631" w:rsidR="00093CA9" w:rsidRDefault="00012799" w:rsidP="00093CA9">
            <w:r w:rsidRPr="00012799">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8B08020" w:rsidR="00093CA9" w:rsidRDefault="003D48C1" w:rsidP="00093CA9">
            <w:r w:rsidRPr="003D48C1">
              <w:t>Coordinating Ministry of Maritime Affairs and Investment Regulation ("</w:t>
            </w:r>
            <w:proofErr w:type="spellStart"/>
            <w:r w:rsidRPr="003D48C1">
              <w:t>CMoMAIR</w:t>
            </w:r>
            <w:proofErr w:type="spellEnd"/>
            <w:r w:rsidRPr="003D48C1">
              <w:t>") No. 5 of 2022 on Steering Committee for Implementation of Carbon Economic Values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B8237AA" w:rsidR="00093CA9" w:rsidRDefault="00BE70B3" w:rsidP="00093CA9">
            <w:hyperlink r:id="rId17" w:history="1">
              <w:r w:rsidRPr="00207844">
                <w:rPr>
                  <w:rStyle w:val="Hyperlink"/>
                </w:rPr>
                <w:t>https://web.archive.org/web/20250702081338/https://peraturan.bpk.go.id/Download/211495/pmmarves5_2022.pdf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154D481" w:rsidR="00093CA9" w:rsidRDefault="003D48C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9F4F974" w:rsidR="00093CA9" w:rsidRPr="006831F1" w:rsidRDefault="006831F1" w:rsidP="003E1296">
            <w:pPr>
              <w:jc w:val="both"/>
              <w:rPr>
                <w:lang w:val="en-ID"/>
              </w:rPr>
            </w:pPr>
            <w:r w:rsidRPr="006831F1">
              <w:rPr>
                <w:lang w:val="en-ID"/>
              </w:rPr>
              <w:t xml:space="preserve">The policy tool </w:t>
            </w:r>
            <w:r>
              <w:rPr>
                <w:lang w:val="en-ID"/>
              </w:rPr>
              <w:t>regulates</w:t>
            </w:r>
            <w:r w:rsidR="003E1296">
              <w:rPr>
                <w:lang w:val="en-ID"/>
              </w:rPr>
              <w:t xml:space="preserve"> the</w:t>
            </w:r>
            <w:r w:rsidRPr="006831F1">
              <w:rPr>
                <w:lang w:val="en-ID"/>
              </w:rPr>
              <w:t xml:space="preserve"> Steering Committee for Indonesia’s </w:t>
            </w:r>
            <w:r w:rsidR="003E1296">
              <w:rPr>
                <w:lang w:val="en-ID"/>
              </w:rPr>
              <w:t>Carbon Economic Value</w:t>
            </w:r>
            <w:r w:rsidRPr="006831F1">
              <w:rPr>
                <w:lang w:val="en-ID"/>
              </w:rPr>
              <w:t xml:space="preserve"> (</w:t>
            </w:r>
            <w:r w:rsidR="003E1296">
              <w:rPr>
                <w:lang w:val="en-ID"/>
              </w:rPr>
              <w:t>“CEV”</w:t>
            </w:r>
            <w:r w:rsidRPr="006831F1">
              <w:rPr>
                <w:lang w:val="en-ID"/>
              </w:rPr>
              <w:t xml:space="preserve">) policy, </w:t>
            </w:r>
            <w:r w:rsidR="003E1296">
              <w:rPr>
                <w:lang w:val="en-ID"/>
              </w:rPr>
              <w:t>to</w:t>
            </w:r>
            <w:r w:rsidRPr="006831F1">
              <w:rPr>
                <w:lang w:val="en-ID"/>
              </w:rPr>
              <w:t xml:space="preserve"> achiev</w:t>
            </w:r>
            <w:r w:rsidR="003E1296">
              <w:rPr>
                <w:lang w:val="en-ID"/>
              </w:rPr>
              <w:t>e</w:t>
            </w:r>
            <w:r w:rsidRPr="006831F1">
              <w:rPr>
                <w:lang w:val="en-ID"/>
              </w:rPr>
              <w:t xml:space="preserve"> the country’s Nationally Determined Contribution targets and controlling greenhouse gas emissions in support of sustainable national development. This committee functions as a central decision-making and advisory body, directing </w:t>
            </w:r>
            <w:r w:rsidR="003E1296">
              <w:rPr>
                <w:lang w:val="en-ID"/>
              </w:rPr>
              <w:t>CEV</w:t>
            </w:r>
            <w:r w:rsidRPr="006831F1">
              <w:rPr>
                <w:lang w:val="en-ID"/>
              </w:rPr>
              <w:t xml:space="preserve">-related policies </w:t>
            </w:r>
            <w:r w:rsidR="003E1296" w:rsidRPr="006831F1">
              <w:rPr>
                <w:lang w:val="en-ID"/>
              </w:rPr>
              <w:t>across ministries, agencies, and local governments</w:t>
            </w:r>
            <w:r w:rsidRPr="006831F1">
              <w:rPr>
                <w:lang w:val="en-ID"/>
              </w:rPr>
              <w:t xml:space="preserve"> </w:t>
            </w:r>
            <w:r w:rsidR="00FC7150">
              <w:rPr>
                <w:lang w:val="en-ID"/>
              </w:rPr>
              <w:t xml:space="preserve">to </w:t>
            </w:r>
            <w:r w:rsidRPr="006831F1">
              <w:rPr>
                <w:lang w:val="en-ID"/>
              </w:rPr>
              <w:t xml:space="preserve">remain aligned with Indonesia’s climate commitments.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E9337F1" w:rsidR="00093CA9" w:rsidRDefault="00FC715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rsidRPr="003E1296" w14:paraId="1E09AAC3" w14:textId="77777777" w:rsidTr="2452D0D6">
        <w:trPr>
          <w:trHeight w:val="300"/>
        </w:trPr>
        <w:tc>
          <w:tcPr>
            <w:tcW w:w="1063" w:type="dxa"/>
            <w:vAlign w:val="center"/>
          </w:tcPr>
          <w:p w14:paraId="39C2428C" w14:textId="552B9ECE" w:rsidR="003D6DA5" w:rsidRPr="003E1296" w:rsidRDefault="002B255F" w:rsidP="00093CA9">
            <w:pPr>
              <w:rPr>
                <w:lang w:val="en-US"/>
              </w:rPr>
            </w:pPr>
            <w:r w:rsidRPr="003E1296">
              <w:rPr>
                <w:lang w:val="en-US"/>
              </w:rPr>
              <w:t>7.5</w:t>
            </w:r>
          </w:p>
        </w:tc>
        <w:tc>
          <w:tcPr>
            <w:tcW w:w="4686" w:type="dxa"/>
            <w:gridSpan w:val="2"/>
            <w:shd w:val="clear" w:color="auto" w:fill="E2EFD9" w:themeFill="accent6" w:themeFillTint="33"/>
            <w:vAlign w:val="center"/>
          </w:tcPr>
          <w:p w14:paraId="6C7FD6CA" w14:textId="3191E7F3" w:rsidR="003D6DA5" w:rsidRPr="003E1296" w:rsidRDefault="00811FC6" w:rsidP="00093CA9">
            <w:pPr>
              <w:rPr>
                <w:lang w:val="en-US"/>
              </w:rPr>
            </w:pPr>
            <w:r w:rsidRPr="003E1296">
              <w:rPr>
                <w:lang w:val="en-US"/>
              </w:rPr>
              <w:t>Retired</w:t>
            </w:r>
          </w:p>
        </w:tc>
        <w:tc>
          <w:tcPr>
            <w:tcW w:w="4483" w:type="dxa"/>
            <w:gridSpan w:val="2"/>
            <w:vAlign w:val="center"/>
          </w:tcPr>
          <w:p w14:paraId="7F5FECBA" w14:textId="77777777" w:rsidR="003D6DA5" w:rsidRPr="003E1296" w:rsidRDefault="003D6DA5" w:rsidP="00093CA9">
            <w:pPr>
              <w:rPr>
                <w:lang w:val="en-US"/>
              </w:rPr>
            </w:pPr>
          </w:p>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273EA7F" w:rsidR="00093CA9" w:rsidRPr="00173D7C" w:rsidRDefault="00A12FC1"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0AD20CF" w:rsidR="00093CA9" w:rsidRPr="00173D7C" w:rsidRDefault="00A12FC1"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D02C46E" w:rsidR="00093CA9" w:rsidRPr="00A12FC1" w:rsidRDefault="00A12FC1" w:rsidP="00093CA9">
            <w:pPr>
              <w:rPr>
                <w:lang w:val="en-ID"/>
              </w:rPr>
            </w:pPr>
            <w:r w:rsidRPr="00A12FC1">
              <w:rPr>
                <w:lang w:val="en-ID"/>
              </w:rPr>
              <w:t>Coordinating Ministry for Maritime &amp; Investment Affairs</w:t>
            </w:r>
            <w:r>
              <w:rPr>
                <w:lang w:val="en-ID"/>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4232B9" w:rsidR="00093CA9" w:rsidRPr="006B7B0D" w:rsidRDefault="00A12FC1" w:rsidP="00093CA9">
            <w:r w:rsidRPr="00A12FC1">
              <w:rPr>
                <w:lang w:val="en-ID"/>
              </w:rPr>
              <w:t>Coordinating Ministry for Maritime &amp; Investment Affairs</w:t>
            </w:r>
            <w:r>
              <w:rPr>
                <w:lang w:val="en-ID"/>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D911E90" w:rsidR="00093CA9" w:rsidRPr="006B7B0D" w:rsidRDefault="00155A8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023C9CEB" w:rsidR="00430935" w:rsidRPr="007615D1" w:rsidRDefault="007615D1" w:rsidP="007615D1">
            <w:pPr>
              <w:jc w:val="both"/>
              <w:rPr>
                <w:lang w:val="en-ID"/>
              </w:rPr>
            </w:pPr>
            <w:r w:rsidRPr="007615D1">
              <w:rPr>
                <w:lang w:val="en-ID"/>
              </w:rPr>
              <w:t xml:space="preserve">This policy </w:t>
            </w:r>
            <w:r w:rsidR="00622FBB">
              <w:rPr>
                <w:lang w:val="en-ID"/>
              </w:rPr>
              <w:t xml:space="preserve">tool </w:t>
            </w:r>
            <w:r w:rsidRPr="007615D1">
              <w:rPr>
                <w:lang w:val="en-ID"/>
              </w:rPr>
              <w:t>aims to establish the organizational structure and working procedures of the Steering Committee, which comprises various ministries and government institutions. While the Steering Committee operates through the involvement of multiple authorities, overall responsibility and coordination</w:t>
            </w:r>
            <w:r>
              <w:rPr>
                <w:lang w:val="en-ID"/>
              </w:rPr>
              <w:t xml:space="preserve"> </w:t>
            </w:r>
            <w:r w:rsidR="00622FBB">
              <w:rPr>
                <w:lang w:val="en-ID"/>
              </w:rPr>
              <w:t>r</w:t>
            </w:r>
            <w:r w:rsidRPr="007615D1">
              <w:rPr>
                <w:lang w:val="en-ID"/>
              </w:rPr>
              <w:t>emain under</w:t>
            </w:r>
            <w:r w:rsidR="00622FBB">
              <w:rPr>
                <w:lang w:val="en-ID"/>
              </w:rPr>
              <w:t xml:space="preserve"> </w:t>
            </w:r>
            <w:r w:rsidRPr="007615D1">
              <w:rPr>
                <w:lang w:val="en-ID"/>
              </w:rPr>
              <w:t>the Coordinating Ministry for Maritime and Investment Affairs.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A5C9738" w:rsidR="00093CA9" w:rsidRDefault="00622FB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78F0DFC" w:rsidR="00093CA9" w:rsidRPr="00622FBB" w:rsidRDefault="00622FBB" w:rsidP="007E7632">
            <w:pPr>
              <w:keepNext/>
              <w:jc w:val="both"/>
              <w:rPr>
                <w:color w:val="000000" w:themeColor="text1"/>
                <w:lang w:val="en-ID"/>
              </w:rPr>
            </w:pPr>
            <w:r w:rsidRPr="00622FBB">
              <w:rPr>
                <w:color w:val="000000" w:themeColor="text1"/>
                <w:lang w:val="en-ID"/>
              </w:rPr>
              <w:t>Article 12 stipulates that the Steering Committee must submit a written report on its activities to the President at least once a year, or more frequently if necessary.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508B09D4"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620763C3"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3272327B"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5F3C96CD"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6996F4DC"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4DFFCE37"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4A1CCD61"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2958AE20"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A0CD51F"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43C57B02"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97F4D4E"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1CD3BE3"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5429C73C"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9762301"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59753C8"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133BBB91"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29B4AC1E"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53E755E3"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6CD6B590"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040035D3"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171D9155"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645D2DC3"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65B18168"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65BE5E60"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1279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0104E9A1"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CBDF1FE"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CEEABF8"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2657B694" w:rsidR="00654950" w:rsidRDefault="00654950" w:rsidP="00AB390B">
            <w:pPr>
              <w:spacing w:line="276" w:lineRule="auto"/>
              <w:jc w:val="both"/>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186D6E3"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BD7D157"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9148ACC"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41DA9D3"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108C4EB"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87726DD"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E1ACEAB"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5773C8E"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A5AE388"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1D93A84"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5A6A661"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549BB90"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8AD8BD5"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DA424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42D2D60"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432B3B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8242B6D"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EA2A8D3"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1337149"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D8DADB3"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F4D7E00"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AE7A06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3B3652E"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1279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1279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265571" w:rsidRPr="00CF2E7C" w14:paraId="6A9011E4" w14:textId="77777777" w:rsidTr="00CF2E7C">
        <w:trPr>
          <w:trHeight w:val="24"/>
        </w:trPr>
        <w:tc>
          <w:tcPr>
            <w:tcW w:w="1065" w:type="dxa"/>
            <w:vAlign w:val="center"/>
          </w:tcPr>
          <w:p w14:paraId="52B35E7A" w14:textId="7A191179" w:rsidR="00265571" w:rsidRPr="00CF2E7C" w:rsidRDefault="00265571" w:rsidP="00265571">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265571" w:rsidRPr="00CF2E7C" w:rsidRDefault="00265571" w:rsidP="00265571">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265571" w:rsidRPr="00CF2E7C" w:rsidRDefault="00265571" w:rsidP="00265571">
            <w:pPr>
              <w:rPr>
                <w:rFonts w:ascii="Calibri" w:hAnsi="Calibri" w:cs="Calibri"/>
              </w:rPr>
            </w:pPr>
          </w:p>
        </w:tc>
        <w:tc>
          <w:tcPr>
            <w:tcW w:w="1674" w:type="dxa"/>
            <w:vAlign w:val="center"/>
          </w:tcPr>
          <w:p w14:paraId="38FE491C" w14:textId="3043D9EB" w:rsidR="00265571" w:rsidRPr="00CF2E7C" w:rsidRDefault="00265571" w:rsidP="00265571">
            <w:pPr>
              <w:rPr>
                <w:rFonts w:ascii="Calibri" w:hAnsi="Calibri" w:cs="Calibri"/>
              </w:rPr>
            </w:pPr>
          </w:p>
        </w:tc>
        <w:tc>
          <w:tcPr>
            <w:tcW w:w="1723" w:type="dxa"/>
            <w:vAlign w:val="center"/>
          </w:tcPr>
          <w:p w14:paraId="0E4790F0" w14:textId="4AD3F80F" w:rsidR="00265571" w:rsidRPr="00CF2E7C" w:rsidRDefault="00265571" w:rsidP="00265571">
            <w:pPr>
              <w:rPr>
                <w:rFonts w:ascii="Calibri" w:hAnsi="Calibri" w:cs="Calibri"/>
              </w:rPr>
            </w:pPr>
            <w:r>
              <w:rPr>
                <w:rFonts w:ascii="Calibri" w:hAnsi="Calibri" w:cs="Calibri"/>
              </w:rPr>
              <w:t>X</w:t>
            </w:r>
          </w:p>
        </w:tc>
      </w:tr>
      <w:tr w:rsidR="00265571" w:rsidRPr="00CF2E7C" w14:paraId="4D023299" w14:textId="77777777" w:rsidTr="00CF2E7C">
        <w:trPr>
          <w:trHeight w:val="24"/>
        </w:trPr>
        <w:tc>
          <w:tcPr>
            <w:tcW w:w="1065" w:type="dxa"/>
            <w:vAlign w:val="center"/>
          </w:tcPr>
          <w:p w14:paraId="340B3557" w14:textId="38078448" w:rsidR="00265571" w:rsidRPr="00CF2E7C" w:rsidRDefault="00265571" w:rsidP="00265571">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265571" w:rsidRPr="00CF2E7C" w:rsidRDefault="00265571" w:rsidP="00265571">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265571" w:rsidRPr="00CF2E7C" w:rsidRDefault="00265571" w:rsidP="00265571">
            <w:pPr>
              <w:rPr>
                <w:rFonts w:ascii="Calibri" w:hAnsi="Calibri" w:cs="Calibri"/>
              </w:rPr>
            </w:pPr>
          </w:p>
        </w:tc>
        <w:tc>
          <w:tcPr>
            <w:tcW w:w="1674" w:type="dxa"/>
            <w:vAlign w:val="center"/>
          </w:tcPr>
          <w:p w14:paraId="2EBF25E0" w14:textId="360BCE62" w:rsidR="00265571" w:rsidRPr="00CF2E7C" w:rsidRDefault="00265571" w:rsidP="00265571">
            <w:pPr>
              <w:rPr>
                <w:rFonts w:ascii="Calibri" w:hAnsi="Calibri" w:cs="Calibri"/>
              </w:rPr>
            </w:pPr>
          </w:p>
        </w:tc>
        <w:tc>
          <w:tcPr>
            <w:tcW w:w="1723" w:type="dxa"/>
            <w:vAlign w:val="center"/>
          </w:tcPr>
          <w:p w14:paraId="761CE175" w14:textId="75BB3F70" w:rsidR="00265571" w:rsidRPr="00CF2E7C" w:rsidRDefault="00265571" w:rsidP="00265571">
            <w:pPr>
              <w:rPr>
                <w:rFonts w:ascii="Calibri" w:hAnsi="Calibri" w:cs="Calibri"/>
              </w:rPr>
            </w:pPr>
            <w:r>
              <w:rPr>
                <w:rFonts w:ascii="Calibri" w:hAnsi="Calibri" w:cs="Calibri"/>
              </w:rPr>
              <w:t>X</w:t>
            </w:r>
          </w:p>
        </w:tc>
      </w:tr>
      <w:tr w:rsidR="00265571" w:rsidRPr="00CF2E7C" w14:paraId="630C7F88" w14:textId="77777777" w:rsidTr="00CF2E7C">
        <w:trPr>
          <w:trHeight w:val="24"/>
        </w:trPr>
        <w:tc>
          <w:tcPr>
            <w:tcW w:w="1065" w:type="dxa"/>
            <w:vAlign w:val="center"/>
          </w:tcPr>
          <w:p w14:paraId="685C0367" w14:textId="6887297B" w:rsidR="00265571" w:rsidRPr="00CF2E7C" w:rsidRDefault="00265571" w:rsidP="00265571">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265571" w:rsidRPr="00CF2E7C" w:rsidRDefault="00265571" w:rsidP="00265571">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265571" w:rsidRPr="00CF2E7C" w:rsidRDefault="00265571" w:rsidP="00265571">
            <w:pPr>
              <w:rPr>
                <w:rFonts w:ascii="Calibri" w:hAnsi="Calibri" w:cs="Calibri"/>
              </w:rPr>
            </w:pPr>
          </w:p>
        </w:tc>
        <w:tc>
          <w:tcPr>
            <w:tcW w:w="1674" w:type="dxa"/>
            <w:vAlign w:val="center"/>
          </w:tcPr>
          <w:p w14:paraId="5824835F" w14:textId="7DF96069" w:rsidR="00265571" w:rsidRPr="00CF2E7C" w:rsidRDefault="00265571" w:rsidP="00265571">
            <w:pPr>
              <w:rPr>
                <w:rFonts w:ascii="Calibri" w:hAnsi="Calibri" w:cs="Calibri"/>
              </w:rPr>
            </w:pPr>
          </w:p>
        </w:tc>
        <w:tc>
          <w:tcPr>
            <w:tcW w:w="1723" w:type="dxa"/>
            <w:vAlign w:val="center"/>
          </w:tcPr>
          <w:p w14:paraId="0BD0C46F" w14:textId="0D0794B9" w:rsidR="00265571" w:rsidRPr="00CF2E7C" w:rsidRDefault="00265571" w:rsidP="00265571">
            <w:pPr>
              <w:rPr>
                <w:rFonts w:ascii="Calibri" w:hAnsi="Calibri" w:cs="Calibri"/>
              </w:rPr>
            </w:pPr>
            <w:r>
              <w:rPr>
                <w:rFonts w:ascii="Calibri" w:hAnsi="Calibri" w:cs="Calibri"/>
              </w:rPr>
              <w:t>X</w:t>
            </w:r>
          </w:p>
        </w:tc>
      </w:tr>
      <w:tr w:rsidR="00265571" w:rsidRPr="00CF2E7C" w14:paraId="1D69381B" w14:textId="77777777" w:rsidTr="00CF2E7C">
        <w:trPr>
          <w:trHeight w:val="24"/>
        </w:trPr>
        <w:tc>
          <w:tcPr>
            <w:tcW w:w="1065" w:type="dxa"/>
            <w:vAlign w:val="center"/>
          </w:tcPr>
          <w:p w14:paraId="718580DC" w14:textId="7C35B1FA" w:rsidR="00265571" w:rsidRPr="00CF2E7C" w:rsidRDefault="00265571" w:rsidP="00265571">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265571" w:rsidRPr="00CF2E7C" w:rsidRDefault="00265571" w:rsidP="00265571">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265571" w:rsidRPr="00CF2E7C" w:rsidRDefault="00265571" w:rsidP="00265571">
            <w:pPr>
              <w:rPr>
                <w:rFonts w:ascii="Calibri" w:hAnsi="Calibri" w:cs="Calibri"/>
              </w:rPr>
            </w:pPr>
          </w:p>
        </w:tc>
        <w:tc>
          <w:tcPr>
            <w:tcW w:w="1674" w:type="dxa"/>
            <w:vAlign w:val="center"/>
          </w:tcPr>
          <w:p w14:paraId="550F0882" w14:textId="62F4A20A" w:rsidR="00265571" w:rsidRPr="00CF2E7C" w:rsidRDefault="00265571" w:rsidP="00265571">
            <w:pPr>
              <w:rPr>
                <w:rFonts w:ascii="Calibri" w:hAnsi="Calibri" w:cs="Calibri"/>
              </w:rPr>
            </w:pPr>
          </w:p>
        </w:tc>
        <w:tc>
          <w:tcPr>
            <w:tcW w:w="1723" w:type="dxa"/>
            <w:vAlign w:val="center"/>
          </w:tcPr>
          <w:p w14:paraId="3CC6459C" w14:textId="37B69F84" w:rsidR="00265571" w:rsidRPr="00CF2E7C" w:rsidRDefault="00265571" w:rsidP="00265571">
            <w:pPr>
              <w:rPr>
                <w:rFonts w:ascii="Calibri" w:hAnsi="Calibri" w:cs="Calibri"/>
              </w:rPr>
            </w:pPr>
            <w:r>
              <w:rPr>
                <w:rFonts w:ascii="Calibri" w:hAnsi="Calibri" w:cs="Calibri"/>
              </w:rPr>
              <w:t>X</w:t>
            </w:r>
          </w:p>
        </w:tc>
      </w:tr>
      <w:tr w:rsidR="00265571" w:rsidRPr="00CF2E7C" w14:paraId="1FCCD9ED" w14:textId="77777777" w:rsidTr="00CF2E7C">
        <w:trPr>
          <w:trHeight w:val="24"/>
        </w:trPr>
        <w:tc>
          <w:tcPr>
            <w:tcW w:w="1065" w:type="dxa"/>
            <w:vAlign w:val="center"/>
          </w:tcPr>
          <w:p w14:paraId="689A33C1" w14:textId="207F3AE8" w:rsidR="00265571" w:rsidRPr="00CF2E7C" w:rsidRDefault="00265571" w:rsidP="00265571">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265571" w:rsidRPr="00CF2E7C" w:rsidRDefault="00265571" w:rsidP="00265571">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265571" w:rsidRPr="00CF2E7C" w:rsidRDefault="00265571" w:rsidP="00265571">
            <w:pPr>
              <w:rPr>
                <w:rFonts w:ascii="Calibri" w:hAnsi="Calibri" w:cs="Calibri"/>
              </w:rPr>
            </w:pPr>
          </w:p>
        </w:tc>
        <w:tc>
          <w:tcPr>
            <w:tcW w:w="1674" w:type="dxa"/>
            <w:vAlign w:val="center"/>
          </w:tcPr>
          <w:p w14:paraId="45D2C527" w14:textId="5DF94A40" w:rsidR="00265571" w:rsidRPr="00CF2E7C" w:rsidRDefault="00265571" w:rsidP="00265571">
            <w:pPr>
              <w:rPr>
                <w:rFonts w:ascii="Calibri" w:hAnsi="Calibri" w:cs="Calibri"/>
              </w:rPr>
            </w:pPr>
          </w:p>
        </w:tc>
        <w:tc>
          <w:tcPr>
            <w:tcW w:w="1723" w:type="dxa"/>
            <w:vAlign w:val="center"/>
          </w:tcPr>
          <w:p w14:paraId="41E24062" w14:textId="7E057032" w:rsidR="00265571" w:rsidRPr="00CF2E7C" w:rsidRDefault="00265571" w:rsidP="00265571">
            <w:pPr>
              <w:rPr>
                <w:rFonts w:ascii="Calibri" w:hAnsi="Calibri" w:cs="Calibri"/>
              </w:rPr>
            </w:pPr>
            <w:r>
              <w:rPr>
                <w:rFonts w:ascii="Calibri" w:hAnsi="Calibri" w:cs="Calibri"/>
              </w:rPr>
              <w:t>X</w:t>
            </w:r>
          </w:p>
        </w:tc>
      </w:tr>
      <w:tr w:rsidR="00265571" w:rsidRPr="00CF2E7C" w14:paraId="2408A643" w14:textId="77777777" w:rsidTr="00CF2E7C">
        <w:trPr>
          <w:trHeight w:val="300"/>
        </w:trPr>
        <w:tc>
          <w:tcPr>
            <w:tcW w:w="1065" w:type="dxa"/>
            <w:vAlign w:val="center"/>
          </w:tcPr>
          <w:p w14:paraId="10D12946" w14:textId="16B9DFCE" w:rsidR="00265571" w:rsidRPr="00CF2E7C" w:rsidRDefault="00265571" w:rsidP="00265571">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265571" w:rsidRPr="00CF2E7C" w:rsidRDefault="00265571" w:rsidP="00265571">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265571" w:rsidRPr="00CF2E7C" w:rsidRDefault="00265571" w:rsidP="00265571">
            <w:pPr>
              <w:rPr>
                <w:rFonts w:ascii="Calibri" w:hAnsi="Calibri" w:cs="Calibri"/>
              </w:rPr>
            </w:pPr>
          </w:p>
        </w:tc>
        <w:tc>
          <w:tcPr>
            <w:tcW w:w="1674" w:type="dxa"/>
            <w:vAlign w:val="center"/>
          </w:tcPr>
          <w:p w14:paraId="2C6A5022" w14:textId="3FA25350" w:rsidR="00265571" w:rsidRPr="00CF2E7C" w:rsidRDefault="00265571" w:rsidP="00265571">
            <w:pPr>
              <w:rPr>
                <w:rFonts w:ascii="Calibri" w:hAnsi="Calibri" w:cs="Calibri"/>
              </w:rPr>
            </w:pPr>
          </w:p>
        </w:tc>
        <w:tc>
          <w:tcPr>
            <w:tcW w:w="1723" w:type="dxa"/>
            <w:vAlign w:val="center"/>
          </w:tcPr>
          <w:p w14:paraId="0590EE0A" w14:textId="7FA63B61" w:rsidR="00265571" w:rsidRPr="00CF2E7C" w:rsidRDefault="00265571" w:rsidP="00265571">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29CF48B1" w:rsidR="00D4323A" w:rsidRPr="00CF2E7C" w:rsidRDefault="007E4053"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102483CC" w:rsidR="00D4323A" w:rsidRPr="00CF2E7C" w:rsidRDefault="007E4053"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3E0E640" w:rsidR="00D4323A" w:rsidRPr="00CF2E7C" w:rsidRDefault="007E4053"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45EE077B" w:rsidR="00D4323A" w:rsidRPr="00CF2E7C" w:rsidRDefault="007E4053"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57A1D88B" w:rsidR="00D4323A" w:rsidRPr="00CF2E7C" w:rsidRDefault="007E4053"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6FD24AF" w:rsidR="00D4323A" w:rsidRPr="00CF2E7C" w:rsidRDefault="007E4053"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265571" w:rsidRPr="00CF2E7C" w14:paraId="457C4949" w14:textId="77777777" w:rsidTr="00CF2E7C">
        <w:trPr>
          <w:trHeight w:val="35"/>
        </w:trPr>
        <w:tc>
          <w:tcPr>
            <w:tcW w:w="1065" w:type="dxa"/>
            <w:vAlign w:val="center"/>
          </w:tcPr>
          <w:p w14:paraId="150C3AE5" w14:textId="3E912F6C" w:rsidR="00265571" w:rsidRPr="00CF2E7C" w:rsidRDefault="00265571" w:rsidP="00265571">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265571" w:rsidRPr="00CF2E7C" w:rsidRDefault="00265571" w:rsidP="00265571">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265571" w:rsidRPr="00CF2E7C" w:rsidRDefault="00265571" w:rsidP="00265571">
            <w:pPr>
              <w:rPr>
                <w:rFonts w:ascii="Calibri" w:hAnsi="Calibri" w:cs="Calibri"/>
              </w:rPr>
            </w:pPr>
          </w:p>
        </w:tc>
        <w:tc>
          <w:tcPr>
            <w:tcW w:w="1674" w:type="dxa"/>
            <w:vAlign w:val="center"/>
          </w:tcPr>
          <w:p w14:paraId="37BE9366" w14:textId="24374412" w:rsidR="00265571" w:rsidRPr="00CF2E7C" w:rsidRDefault="00265571" w:rsidP="00265571">
            <w:pPr>
              <w:rPr>
                <w:rFonts w:ascii="Calibri" w:hAnsi="Calibri" w:cs="Calibri"/>
              </w:rPr>
            </w:pPr>
          </w:p>
        </w:tc>
        <w:tc>
          <w:tcPr>
            <w:tcW w:w="1723" w:type="dxa"/>
            <w:vAlign w:val="center"/>
          </w:tcPr>
          <w:p w14:paraId="25298912" w14:textId="203E0E77" w:rsidR="00265571" w:rsidRPr="00CF2E7C" w:rsidRDefault="00265571" w:rsidP="00265571">
            <w:pPr>
              <w:rPr>
                <w:rFonts w:ascii="Calibri" w:hAnsi="Calibri" w:cs="Calibri"/>
              </w:rPr>
            </w:pPr>
            <w:r>
              <w:rPr>
                <w:rFonts w:ascii="Calibri" w:hAnsi="Calibri" w:cs="Calibri"/>
              </w:rPr>
              <w:t>X</w:t>
            </w:r>
          </w:p>
        </w:tc>
      </w:tr>
      <w:tr w:rsidR="00265571" w:rsidRPr="00CF2E7C" w14:paraId="1DB9BA0A" w14:textId="77777777" w:rsidTr="00CF2E7C">
        <w:trPr>
          <w:trHeight w:val="35"/>
        </w:trPr>
        <w:tc>
          <w:tcPr>
            <w:tcW w:w="1065" w:type="dxa"/>
            <w:vAlign w:val="center"/>
          </w:tcPr>
          <w:p w14:paraId="4C1455E0" w14:textId="574B1972" w:rsidR="00265571" w:rsidRPr="00CF2E7C" w:rsidRDefault="00265571" w:rsidP="00265571">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265571" w:rsidRPr="00CF2E7C" w:rsidRDefault="00265571" w:rsidP="00265571">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265571" w:rsidRPr="00CF2E7C" w:rsidRDefault="00265571" w:rsidP="00265571">
            <w:pPr>
              <w:rPr>
                <w:rFonts w:ascii="Calibri" w:hAnsi="Calibri" w:cs="Calibri"/>
              </w:rPr>
            </w:pPr>
          </w:p>
        </w:tc>
        <w:tc>
          <w:tcPr>
            <w:tcW w:w="1674" w:type="dxa"/>
            <w:vAlign w:val="center"/>
          </w:tcPr>
          <w:p w14:paraId="0855EA0B" w14:textId="773B2BFF" w:rsidR="00265571" w:rsidRPr="00CF2E7C" w:rsidRDefault="00265571" w:rsidP="00265571">
            <w:pPr>
              <w:rPr>
                <w:rFonts w:ascii="Calibri" w:hAnsi="Calibri" w:cs="Calibri"/>
              </w:rPr>
            </w:pPr>
          </w:p>
        </w:tc>
        <w:tc>
          <w:tcPr>
            <w:tcW w:w="1723" w:type="dxa"/>
            <w:vAlign w:val="center"/>
          </w:tcPr>
          <w:p w14:paraId="63004DE8" w14:textId="07BDC094" w:rsidR="00265571" w:rsidRPr="00CF2E7C" w:rsidRDefault="00265571" w:rsidP="00265571">
            <w:pPr>
              <w:rPr>
                <w:rFonts w:ascii="Calibri" w:hAnsi="Calibri" w:cs="Calibri"/>
              </w:rPr>
            </w:pPr>
            <w:r>
              <w:rPr>
                <w:rFonts w:ascii="Calibri" w:hAnsi="Calibri" w:cs="Calibri"/>
              </w:rPr>
              <w:t>X</w:t>
            </w:r>
          </w:p>
        </w:tc>
      </w:tr>
      <w:tr w:rsidR="00265571" w:rsidRPr="00CF2E7C" w14:paraId="23EED245" w14:textId="77777777" w:rsidTr="00CF2E7C">
        <w:trPr>
          <w:trHeight w:val="35"/>
        </w:trPr>
        <w:tc>
          <w:tcPr>
            <w:tcW w:w="1065" w:type="dxa"/>
            <w:vAlign w:val="center"/>
          </w:tcPr>
          <w:p w14:paraId="7922D5AA" w14:textId="59EA98C1" w:rsidR="00265571" w:rsidRPr="00CF2E7C" w:rsidRDefault="00265571" w:rsidP="0026557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265571" w:rsidRPr="00CF2E7C" w:rsidRDefault="00265571" w:rsidP="00265571">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265571" w:rsidRPr="00CF2E7C" w:rsidRDefault="00265571" w:rsidP="00265571">
            <w:pPr>
              <w:rPr>
                <w:rFonts w:ascii="Calibri" w:hAnsi="Calibri" w:cs="Calibri"/>
              </w:rPr>
            </w:pPr>
          </w:p>
        </w:tc>
        <w:tc>
          <w:tcPr>
            <w:tcW w:w="1674" w:type="dxa"/>
            <w:vAlign w:val="center"/>
          </w:tcPr>
          <w:p w14:paraId="7CD111D3" w14:textId="3413BE16" w:rsidR="00265571" w:rsidRPr="00CF2E7C" w:rsidRDefault="00265571" w:rsidP="00265571">
            <w:pPr>
              <w:rPr>
                <w:rFonts w:ascii="Calibri" w:hAnsi="Calibri" w:cs="Calibri"/>
              </w:rPr>
            </w:pPr>
          </w:p>
        </w:tc>
        <w:tc>
          <w:tcPr>
            <w:tcW w:w="1723" w:type="dxa"/>
            <w:vAlign w:val="center"/>
          </w:tcPr>
          <w:p w14:paraId="7BA5D524" w14:textId="15919CF9" w:rsidR="00265571" w:rsidRPr="00CF2E7C" w:rsidRDefault="00265571" w:rsidP="00265571">
            <w:pPr>
              <w:rPr>
                <w:rFonts w:ascii="Calibri" w:hAnsi="Calibri" w:cs="Calibri"/>
              </w:rPr>
            </w:pPr>
            <w:r>
              <w:rPr>
                <w:rFonts w:ascii="Calibri" w:hAnsi="Calibri" w:cs="Calibri"/>
              </w:rPr>
              <w:t>X</w:t>
            </w:r>
          </w:p>
        </w:tc>
      </w:tr>
      <w:tr w:rsidR="00265571" w:rsidRPr="00CF2E7C" w14:paraId="480540E5" w14:textId="77777777" w:rsidTr="00CF2E7C">
        <w:trPr>
          <w:trHeight w:val="35"/>
        </w:trPr>
        <w:tc>
          <w:tcPr>
            <w:tcW w:w="1065" w:type="dxa"/>
            <w:vAlign w:val="center"/>
          </w:tcPr>
          <w:p w14:paraId="1C057537" w14:textId="59C78FA0" w:rsidR="00265571" w:rsidRPr="00CF2E7C" w:rsidRDefault="00265571" w:rsidP="00265571">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265571" w:rsidRPr="00CF2E7C" w:rsidRDefault="00265571" w:rsidP="00265571">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265571" w:rsidRPr="00CF2E7C" w:rsidRDefault="00265571" w:rsidP="00265571">
            <w:pPr>
              <w:rPr>
                <w:rFonts w:ascii="Calibri" w:hAnsi="Calibri" w:cs="Calibri"/>
              </w:rPr>
            </w:pPr>
          </w:p>
        </w:tc>
        <w:tc>
          <w:tcPr>
            <w:tcW w:w="1674" w:type="dxa"/>
            <w:vAlign w:val="center"/>
          </w:tcPr>
          <w:p w14:paraId="5CDE12B8" w14:textId="747033EC" w:rsidR="00265571" w:rsidRPr="00CF2E7C" w:rsidRDefault="00265571" w:rsidP="00265571">
            <w:pPr>
              <w:rPr>
                <w:rFonts w:ascii="Calibri" w:hAnsi="Calibri" w:cs="Calibri"/>
              </w:rPr>
            </w:pPr>
          </w:p>
        </w:tc>
        <w:tc>
          <w:tcPr>
            <w:tcW w:w="1723" w:type="dxa"/>
            <w:vAlign w:val="center"/>
          </w:tcPr>
          <w:p w14:paraId="4E810E0F" w14:textId="0E3FC092" w:rsidR="00265571" w:rsidRPr="00CF2E7C" w:rsidRDefault="00265571" w:rsidP="00265571">
            <w:pPr>
              <w:rPr>
                <w:rFonts w:ascii="Calibri" w:hAnsi="Calibri" w:cs="Calibri"/>
              </w:rPr>
            </w:pPr>
            <w:r>
              <w:rPr>
                <w:rFonts w:ascii="Calibri" w:hAnsi="Calibri" w:cs="Calibri"/>
              </w:rPr>
              <w:t>X</w:t>
            </w:r>
          </w:p>
        </w:tc>
      </w:tr>
      <w:tr w:rsidR="00265571" w:rsidRPr="00CF2E7C" w14:paraId="703F2AC4" w14:textId="77777777" w:rsidTr="00CF2E7C">
        <w:trPr>
          <w:trHeight w:val="35"/>
        </w:trPr>
        <w:tc>
          <w:tcPr>
            <w:tcW w:w="1065" w:type="dxa"/>
            <w:vAlign w:val="center"/>
          </w:tcPr>
          <w:p w14:paraId="0C977D2B" w14:textId="71A3659E" w:rsidR="00265571" w:rsidRPr="00CF2E7C" w:rsidRDefault="00265571" w:rsidP="00265571">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265571" w:rsidRPr="00CF2E7C" w:rsidRDefault="00265571" w:rsidP="00265571">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265571" w:rsidRPr="00CF2E7C" w:rsidRDefault="00265571" w:rsidP="00265571">
            <w:pPr>
              <w:rPr>
                <w:rFonts w:ascii="Calibri" w:hAnsi="Calibri" w:cs="Calibri"/>
              </w:rPr>
            </w:pPr>
          </w:p>
        </w:tc>
        <w:tc>
          <w:tcPr>
            <w:tcW w:w="1674" w:type="dxa"/>
            <w:vAlign w:val="center"/>
          </w:tcPr>
          <w:p w14:paraId="167C63D4" w14:textId="0F84CE16" w:rsidR="00265571" w:rsidRPr="00CF2E7C" w:rsidRDefault="00265571" w:rsidP="00265571">
            <w:pPr>
              <w:rPr>
                <w:rFonts w:ascii="Calibri" w:hAnsi="Calibri" w:cs="Calibri"/>
              </w:rPr>
            </w:pPr>
          </w:p>
        </w:tc>
        <w:tc>
          <w:tcPr>
            <w:tcW w:w="1723" w:type="dxa"/>
            <w:vAlign w:val="center"/>
          </w:tcPr>
          <w:p w14:paraId="3D0E7F87" w14:textId="3ECB58C9" w:rsidR="00265571" w:rsidRPr="00CF2E7C" w:rsidRDefault="00265571" w:rsidP="00265571">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386D7802" w:rsidR="00092534" w:rsidRPr="00CF2E7C" w:rsidRDefault="008310A0" w:rsidP="008310A0">
            <w:pPr>
              <w:jc w:val="both"/>
              <w:rPr>
                <w:rFonts w:ascii="Calibri" w:hAnsi="Calibri" w:cs="Calibri"/>
              </w:rPr>
            </w:pPr>
            <w:r w:rsidRPr="008310A0">
              <w:rPr>
                <w:rFonts w:ascii="Calibri" w:hAnsi="Calibri" w:cs="Calibri"/>
              </w:rPr>
              <w:t>While no specific entities are expressly targeted, the steering committee is authorized to involve any relevant entity as deemed necessary. This is stipulated in Article 8 of the policy tool, which states:</w:t>
            </w:r>
            <w:r>
              <w:rPr>
                <w:rFonts w:ascii="Calibri" w:hAnsi="Calibri" w:cs="Calibri"/>
              </w:rPr>
              <w:t xml:space="preserve"> </w:t>
            </w:r>
            <w:r w:rsidRPr="008310A0">
              <w:rPr>
                <w:rFonts w:ascii="Calibri" w:hAnsi="Calibri" w:cs="Calibri"/>
              </w:rPr>
              <w:t>"In carrying out its duties, the Steering Committee may involve ministries/non-ministerial government agencies, local governments, chambers of commerce associations, and other relevant parties."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1279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34837046" w:rsidR="00092534" w:rsidRPr="00CF2E7C" w:rsidRDefault="008310A0"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176FC68" w:rsidR="00DB1E72" w:rsidRPr="00CF2E7C" w:rsidRDefault="008310A0"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DF9750D" w:rsidR="00DB1E72" w:rsidRPr="00CF2E7C" w:rsidRDefault="008310A0"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64695B14" w:rsidR="00092534" w:rsidRPr="00CF2E7C" w:rsidRDefault="00AA4940"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2F121982"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175EE8B5"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38D7F9B7" w:rsidR="00092534" w:rsidRPr="00CF2E7C" w:rsidRDefault="00AA4940"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6DC33919" w:rsidR="00092534" w:rsidRPr="00CF2E7C" w:rsidRDefault="00BE70B3" w:rsidP="00CF2E7C">
            <w:pPr>
              <w:rPr>
                <w:rFonts w:ascii="Calibri" w:hAnsi="Calibri" w:cs="Calibri"/>
              </w:rPr>
            </w:pPr>
            <w:hyperlink r:id="rId18" w:history="1">
              <w:r w:rsidRPr="00207844">
                <w:rPr>
                  <w:rStyle w:val="Hyperlink"/>
                </w:rPr>
                <w:t>https://web.archive.org/web/20250702081703/https://jdih.maritim.go.id/menko-marves-bentuk-struktur-dan-tata-kerja-komite-pengarah-penyelenggaran-nilai-ekonomi-karbon</w:t>
              </w:r>
            </w:hyperlink>
            <w:r>
              <w:t xml:space="preserve"> </w:t>
            </w:r>
            <w:r w:rsidR="00AA4940">
              <w:rPr>
                <w:color w:val="000000" w:themeColor="text1"/>
              </w:rPr>
              <w:br/>
            </w:r>
            <w:r w:rsidR="00AA4940">
              <w:rPr>
                <w:color w:val="000000" w:themeColor="text1"/>
              </w:rPr>
              <w:br/>
              <w:t xml:space="preserve">Above article stipulates the establishment of the Steering Committee by the Coordinating Minister of </w:t>
            </w:r>
            <w:r w:rsidR="00AA4940" w:rsidRPr="00A12FC1">
              <w:rPr>
                <w:lang w:val="en-ID"/>
              </w:rPr>
              <w:t>Maritime &amp; Investment Affairs</w:t>
            </w:r>
            <w:r w:rsidR="00AA4940">
              <w:rPr>
                <w:lang w:val="en-ID"/>
              </w:rPr>
              <w:t>.</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4B7DED61" w:rsidR="00092534" w:rsidRPr="00CF2E7C" w:rsidRDefault="00AA4940"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0EF8E1E5" w:rsidR="00D46B07" w:rsidRPr="00CF2E7C" w:rsidRDefault="002333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94317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1081">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1DD6A8E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1081">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4F1A85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1081">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477E7D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1081">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5A9A85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1081">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0C4393A0" w:rsidR="00343937" w:rsidRPr="00CF2E7C" w:rsidRDefault="00E86E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1783208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1C8335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09730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328C2D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DC7DA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098DA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448BCDA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425E64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3A4FD4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2396A7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632CC7D5"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6E15">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9716C2" w14:textId="7B53DAFC" w:rsidR="00160C37" w:rsidRPr="00160C37" w:rsidRDefault="00160C37" w:rsidP="00160C37">
            <w:pPr>
              <w:jc w:val="both"/>
              <w:textAlignment w:val="baseline"/>
              <w:rPr>
                <w:rFonts w:ascii="Calibri" w:eastAsia="Times New Roman" w:hAnsi="Calibri" w:cs="Calibri"/>
                <w:kern w:val="0"/>
                <w:lang w:eastAsia="en-GB"/>
                <w14:ligatures w14:val="none"/>
              </w:rPr>
            </w:pPr>
            <w:r w:rsidRPr="00160C37">
              <w:rPr>
                <w:rFonts w:ascii="Calibri" w:eastAsia="Times New Roman" w:hAnsi="Calibri" w:cs="Calibri"/>
                <w:kern w:val="0"/>
                <w:lang w:eastAsia="en-GB"/>
                <w14:ligatures w14:val="none"/>
              </w:rPr>
              <w:t xml:space="preserve">The policy tool does include a dispute resolution mechanism, though not in the form of a formal grievance redress system. Specifically, Article 2 paragraph (2) letter c of </w:t>
            </w:r>
            <w:r>
              <w:rPr>
                <w:rFonts w:ascii="Calibri" w:eastAsia="Times New Roman" w:hAnsi="Calibri" w:cs="Calibri"/>
                <w:kern w:val="0"/>
                <w:lang w:eastAsia="en-GB"/>
                <w14:ligatures w14:val="none"/>
              </w:rPr>
              <w:t>the policy tool</w:t>
            </w:r>
            <w:r w:rsidRPr="00160C37">
              <w:rPr>
                <w:rFonts w:ascii="Calibri" w:eastAsia="Times New Roman" w:hAnsi="Calibri" w:cs="Calibri"/>
                <w:kern w:val="0"/>
                <w:lang w:eastAsia="en-GB"/>
                <w14:ligatures w14:val="none"/>
              </w:rPr>
              <w:t xml:space="preserve"> states that one of the functions of the Steering Committee is</w:t>
            </w:r>
            <w:r>
              <w:rPr>
                <w:rFonts w:ascii="Calibri" w:eastAsia="Times New Roman" w:hAnsi="Calibri" w:cs="Calibri"/>
                <w:kern w:val="0"/>
                <w:lang w:eastAsia="en-GB"/>
                <w14:ligatures w14:val="none"/>
              </w:rPr>
              <w:t xml:space="preserve"> </w:t>
            </w:r>
            <w:r w:rsidRPr="00160C37">
              <w:rPr>
                <w:rFonts w:ascii="Calibri" w:eastAsia="Times New Roman" w:hAnsi="Calibri" w:cs="Calibri"/>
                <w:kern w:val="0"/>
                <w:lang w:eastAsia="en-GB"/>
                <w14:ligatures w14:val="none"/>
              </w:rPr>
              <w:t>“Resolution of cross-sectoral issues in the implementation of the Carbon Economic Value (NEK) policy</w:t>
            </w:r>
            <w:r>
              <w:rPr>
                <w:rFonts w:ascii="Calibri" w:eastAsia="Times New Roman" w:hAnsi="Calibri" w:cs="Calibri"/>
                <w:kern w:val="0"/>
                <w:lang w:eastAsia="en-GB"/>
                <w14:ligatures w14:val="none"/>
              </w:rPr>
              <w:t>”</w:t>
            </w:r>
          </w:p>
          <w:p w14:paraId="1DFA9CEC" w14:textId="40510A76" w:rsidR="00304070" w:rsidRPr="00CF2E7C" w:rsidRDefault="00160C37" w:rsidP="00160C37">
            <w:pPr>
              <w:jc w:val="both"/>
              <w:textAlignment w:val="baseline"/>
              <w:rPr>
                <w:rFonts w:ascii="Calibri" w:eastAsia="Times New Roman" w:hAnsi="Calibri" w:cs="Calibri"/>
                <w:kern w:val="0"/>
                <w:lang w:eastAsia="en-GB"/>
                <w14:ligatures w14:val="none"/>
              </w:rPr>
            </w:pPr>
            <w:r w:rsidRPr="00160C37">
              <w:rPr>
                <w:rFonts w:ascii="Calibri" w:eastAsia="Times New Roman" w:hAnsi="Calibri" w:cs="Calibri"/>
                <w:kern w:val="0"/>
                <w:lang w:eastAsia="en-GB"/>
                <w14:ligatures w14:val="none"/>
              </w:rPr>
              <w:t>This provision indicates that the Steering Committee has the authority to address and resolve disputes, conflicts, or implementation problems that may arise between ministries, government agencies, or other stakeholders during the coordination and execution of the NEK policy.</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3FE54BC0" w:rsidR="00FE7FA5" w:rsidRPr="009C4D10" w:rsidRDefault="00160C3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FF2B76B" w14:textId="5B421BF1" w:rsidR="00023A6E" w:rsidRPr="00023A6E" w:rsidRDefault="00023A6E" w:rsidP="00023A6E">
            <w:pPr>
              <w:jc w:val="both"/>
              <w:textAlignment w:val="baseline"/>
              <w:rPr>
                <w:rFonts w:eastAsia="Times New Roman" w:cstheme="minorHAnsi"/>
                <w:kern w:val="0"/>
                <w:lang w:val="en-ID" w:eastAsia="en-GB"/>
                <w14:ligatures w14:val="none"/>
              </w:rPr>
            </w:pPr>
            <w:r>
              <w:rPr>
                <w:rFonts w:eastAsia="Times New Roman" w:cstheme="minorHAnsi"/>
                <w:kern w:val="0"/>
                <w:lang w:val="en-ID" w:eastAsia="en-GB"/>
                <w14:ligatures w14:val="none"/>
              </w:rPr>
              <w:t>The policy tool</w:t>
            </w:r>
            <w:r w:rsidRPr="00023A6E">
              <w:rPr>
                <w:rFonts w:eastAsia="Times New Roman" w:cstheme="minorHAnsi"/>
                <w:kern w:val="0"/>
                <w:lang w:val="en-ID" w:eastAsia="en-GB"/>
                <w14:ligatures w14:val="none"/>
              </w:rPr>
              <w:t> demonstrates clear alignment with Article 6.2 of the Paris Agreement, which enables countries to cooperate through the international transfer of mitigation outcomes (ITMOs) to meet their Nationally Determined Contributions (NDCs).</w:t>
            </w:r>
          </w:p>
          <w:p w14:paraId="4D737F5A" w14:textId="77777777" w:rsidR="00023A6E" w:rsidRPr="00023A6E" w:rsidRDefault="00023A6E" w:rsidP="00023A6E">
            <w:pPr>
              <w:jc w:val="both"/>
              <w:textAlignment w:val="baseline"/>
              <w:rPr>
                <w:rFonts w:eastAsia="Times New Roman" w:cstheme="minorHAnsi"/>
                <w:kern w:val="0"/>
                <w:lang w:val="en-ID" w:eastAsia="en-GB"/>
                <w14:ligatures w14:val="none"/>
              </w:rPr>
            </w:pPr>
            <w:r w:rsidRPr="00023A6E">
              <w:rPr>
                <w:rFonts w:eastAsia="Times New Roman" w:cstheme="minorHAnsi"/>
                <w:kern w:val="0"/>
                <w:lang w:val="en-ID" w:eastAsia="en-GB"/>
                <w14:ligatures w14:val="none"/>
              </w:rPr>
              <w:t>This is reflected in several provisions of the regulation:</w:t>
            </w:r>
          </w:p>
          <w:p w14:paraId="62E986B8" w14:textId="745CC5FB" w:rsidR="00023A6E" w:rsidRPr="00023A6E" w:rsidRDefault="00023A6E" w:rsidP="00023A6E">
            <w:pPr>
              <w:numPr>
                <w:ilvl w:val="0"/>
                <w:numId w:val="49"/>
              </w:numPr>
              <w:jc w:val="both"/>
              <w:textAlignment w:val="baseline"/>
              <w:rPr>
                <w:rFonts w:eastAsia="Times New Roman" w:cstheme="minorHAnsi"/>
                <w:kern w:val="0"/>
                <w:lang w:val="en-ID" w:eastAsia="en-GB"/>
                <w14:ligatures w14:val="none"/>
              </w:rPr>
            </w:pPr>
            <w:r w:rsidRPr="00023A6E">
              <w:rPr>
                <w:rFonts w:eastAsia="Times New Roman" w:cstheme="minorHAnsi"/>
                <w:kern w:val="0"/>
                <w:lang w:val="en-ID" w:eastAsia="en-GB"/>
                <w14:ligatures w14:val="none"/>
              </w:rPr>
              <w:t>Article 2(2)(d) mandates the Steering Committee to develop national and international cooperation mechanisms that span across sectors</w:t>
            </w:r>
            <w:r>
              <w:rPr>
                <w:rFonts w:eastAsia="Times New Roman" w:cstheme="minorHAnsi"/>
                <w:kern w:val="0"/>
                <w:lang w:val="en-ID" w:eastAsia="en-GB"/>
                <w14:ligatures w14:val="none"/>
              </w:rPr>
              <w:t>,</w:t>
            </w:r>
            <w:r w:rsidRPr="00023A6E">
              <w:rPr>
                <w:rFonts w:eastAsia="Times New Roman" w:cstheme="minorHAnsi"/>
                <w:kern w:val="0"/>
                <w:lang w:val="en-ID" w:eastAsia="en-GB"/>
                <w14:ligatures w14:val="none"/>
              </w:rPr>
              <w:t xml:space="preserve"> a foundational element for bilateral agreements required under Article 6.2.</w:t>
            </w:r>
          </w:p>
          <w:p w14:paraId="33E237AE" w14:textId="77777777" w:rsidR="00023A6E" w:rsidRPr="00023A6E" w:rsidRDefault="00023A6E" w:rsidP="00023A6E">
            <w:pPr>
              <w:numPr>
                <w:ilvl w:val="0"/>
                <w:numId w:val="49"/>
              </w:numPr>
              <w:jc w:val="both"/>
              <w:textAlignment w:val="baseline"/>
              <w:rPr>
                <w:rFonts w:eastAsia="Times New Roman" w:cstheme="minorHAnsi"/>
                <w:kern w:val="0"/>
                <w:lang w:val="en-ID" w:eastAsia="en-GB"/>
                <w14:ligatures w14:val="none"/>
              </w:rPr>
            </w:pPr>
            <w:r w:rsidRPr="00023A6E">
              <w:rPr>
                <w:rFonts w:eastAsia="Times New Roman" w:cstheme="minorHAnsi"/>
                <w:kern w:val="0"/>
                <w:lang w:val="en-ID" w:eastAsia="en-GB"/>
                <w14:ligatures w14:val="none"/>
              </w:rPr>
              <w:t>Article 7(1)(a–g) outlines the roles of the Chair of NDC and NEK Substantive Affairs, including acting as the National Focal Point (NFP) for the UNFCCC, and coordinating the design, implementation, and submission of NDCs, emission baselines, and climate strategies. This institutional role is critical for enabling ITMO authorization, tracking, and reporting under Article 6.2.</w:t>
            </w:r>
          </w:p>
          <w:p w14:paraId="087EEB33" w14:textId="4EF41583" w:rsidR="00023A6E" w:rsidRPr="00023A6E" w:rsidRDefault="00023A6E" w:rsidP="00023A6E">
            <w:pPr>
              <w:numPr>
                <w:ilvl w:val="0"/>
                <w:numId w:val="49"/>
              </w:numPr>
              <w:jc w:val="both"/>
              <w:textAlignment w:val="baseline"/>
              <w:rPr>
                <w:rFonts w:eastAsia="Times New Roman" w:cstheme="minorHAnsi"/>
                <w:kern w:val="0"/>
                <w:lang w:val="en-ID" w:eastAsia="en-GB"/>
                <w14:ligatures w14:val="none"/>
              </w:rPr>
            </w:pPr>
            <w:r w:rsidRPr="00023A6E">
              <w:rPr>
                <w:rFonts w:eastAsia="Times New Roman" w:cstheme="minorHAnsi"/>
                <w:kern w:val="0"/>
                <w:lang w:val="en-ID" w:eastAsia="en-GB"/>
                <w14:ligatures w14:val="none"/>
              </w:rPr>
              <w:t>Article 7(3)(a–e) tasks the Chair for Fiscal and Financing Substances to coordinate the carbon pricing framework, including carbon levies, and synchronize fiscal strategies at national and subnational levels</w:t>
            </w:r>
            <w:r>
              <w:rPr>
                <w:rFonts w:eastAsia="Times New Roman" w:cstheme="minorHAnsi"/>
                <w:kern w:val="0"/>
                <w:lang w:val="en-ID" w:eastAsia="en-GB"/>
                <w14:ligatures w14:val="none"/>
              </w:rPr>
              <w:t xml:space="preserve">, </w:t>
            </w:r>
            <w:r w:rsidRPr="00023A6E">
              <w:rPr>
                <w:rFonts w:eastAsia="Times New Roman" w:cstheme="minorHAnsi"/>
                <w:kern w:val="0"/>
                <w:lang w:val="en-ID" w:eastAsia="en-GB"/>
                <w14:ligatures w14:val="none"/>
              </w:rPr>
              <w:t>components crucial for enabling a functioning carbon market system that may interact with international mechanisms.</w:t>
            </w:r>
          </w:p>
          <w:p w14:paraId="0811C6F7" w14:textId="77777777" w:rsidR="00023A6E" w:rsidRPr="00023A6E" w:rsidRDefault="00023A6E" w:rsidP="00023A6E">
            <w:pPr>
              <w:jc w:val="both"/>
              <w:textAlignment w:val="baseline"/>
              <w:rPr>
                <w:rFonts w:eastAsia="Times New Roman" w:cstheme="minorHAnsi"/>
                <w:kern w:val="0"/>
                <w:lang w:val="en-ID" w:eastAsia="en-GB"/>
                <w14:ligatures w14:val="none"/>
              </w:rPr>
            </w:pPr>
            <w:r w:rsidRPr="00023A6E">
              <w:rPr>
                <w:rFonts w:eastAsia="Times New Roman" w:cstheme="minorHAnsi"/>
                <w:kern w:val="0"/>
                <w:lang w:val="en-ID" w:eastAsia="en-GB"/>
                <w14:ligatures w14:val="none"/>
              </w:rPr>
              <w:t>Although the regulation does not explicitly mention “ITMOs” or “Article 6.2,” the design and responsibilities it outlines are functionally consistent with the institutional and governance structures required to support Article 6.2 mechanisms.</w:t>
            </w:r>
          </w:p>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1279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1947ED" w14:textId="77777777" w:rsidR="00670805" w:rsidRDefault="00670805" w:rsidP="00874E39">
      <w:r>
        <w:separator/>
      </w:r>
    </w:p>
  </w:endnote>
  <w:endnote w:type="continuationSeparator" w:id="0">
    <w:p w14:paraId="1F10D9A8" w14:textId="77777777" w:rsidR="00670805" w:rsidRDefault="00670805" w:rsidP="00874E39">
      <w:r>
        <w:continuationSeparator/>
      </w:r>
    </w:p>
  </w:endnote>
  <w:endnote w:type="continuationNotice" w:id="1">
    <w:p w14:paraId="54413A80" w14:textId="77777777" w:rsidR="00670805" w:rsidRDefault="006708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99CEB1" w14:textId="77777777" w:rsidR="00670805" w:rsidRDefault="00670805" w:rsidP="00874E39">
      <w:r>
        <w:separator/>
      </w:r>
    </w:p>
  </w:footnote>
  <w:footnote w:type="continuationSeparator" w:id="0">
    <w:p w14:paraId="004D342A" w14:textId="77777777" w:rsidR="00670805" w:rsidRDefault="00670805" w:rsidP="00874E39">
      <w:r>
        <w:continuationSeparator/>
      </w:r>
    </w:p>
  </w:footnote>
  <w:footnote w:type="continuationNotice" w:id="1">
    <w:p w14:paraId="4A4C5D67" w14:textId="77777777" w:rsidR="00670805" w:rsidRDefault="006708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F3A213B"/>
    <w:multiLevelType w:val="multilevel"/>
    <w:tmpl w:val="0C90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85288618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799"/>
    <w:rsid w:val="00012CE9"/>
    <w:rsid w:val="000147A5"/>
    <w:rsid w:val="00016AF3"/>
    <w:rsid w:val="00021C84"/>
    <w:rsid w:val="000235A5"/>
    <w:rsid w:val="000237AB"/>
    <w:rsid w:val="00023A6E"/>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7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A80"/>
    <w:rsid w:val="00156468"/>
    <w:rsid w:val="00156AE2"/>
    <w:rsid w:val="00156CD5"/>
    <w:rsid w:val="0015734C"/>
    <w:rsid w:val="0016002C"/>
    <w:rsid w:val="00160486"/>
    <w:rsid w:val="001604B3"/>
    <w:rsid w:val="00160C37"/>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C5C"/>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3A7"/>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571"/>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1296"/>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935"/>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E18"/>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59D"/>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2FBB"/>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805"/>
    <w:rsid w:val="00671081"/>
    <w:rsid w:val="00671EA4"/>
    <w:rsid w:val="006736BC"/>
    <w:rsid w:val="006746D5"/>
    <w:rsid w:val="0067532A"/>
    <w:rsid w:val="00675752"/>
    <w:rsid w:val="006770B7"/>
    <w:rsid w:val="006801E4"/>
    <w:rsid w:val="006831F1"/>
    <w:rsid w:val="00683A9D"/>
    <w:rsid w:val="00683DB5"/>
    <w:rsid w:val="00685A4F"/>
    <w:rsid w:val="00686FC5"/>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1"/>
    <w:rsid w:val="007615D2"/>
    <w:rsid w:val="00763C64"/>
    <w:rsid w:val="00764D1A"/>
    <w:rsid w:val="00764DB3"/>
    <w:rsid w:val="00765130"/>
    <w:rsid w:val="007653FB"/>
    <w:rsid w:val="0076706A"/>
    <w:rsid w:val="0077017A"/>
    <w:rsid w:val="00770837"/>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258"/>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D0B"/>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053"/>
    <w:rsid w:val="007E41AF"/>
    <w:rsid w:val="007E527E"/>
    <w:rsid w:val="007E531B"/>
    <w:rsid w:val="007E5B48"/>
    <w:rsid w:val="007E6FBE"/>
    <w:rsid w:val="007E7632"/>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E67"/>
    <w:rsid w:val="008310A0"/>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F9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A68"/>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BEB"/>
    <w:rsid w:val="00A02AF3"/>
    <w:rsid w:val="00A035AB"/>
    <w:rsid w:val="00A04C9D"/>
    <w:rsid w:val="00A04DB8"/>
    <w:rsid w:val="00A050A2"/>
    <w:rsid w:val="00A05CFC"/>
    <w:rsid w:val="00A064CE"/>
    <w:rsid w:val="00A0773E"/>
    <w:rsid w:val="00A07FB5"/>
    <w:rsid w:val="00A123CE"/>
    <w:rsid w:val="00A12FC1"/>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40"/>
    <w:rsid w:val="00AA4965"/>
    <w:rsid w:val="00AA6DDB"/>
    <w:rsid w:val="00AB0830"/>
    <w:rsid w:val="00AB2CCC"/>
    <w:rsid w:val="00AB390B"/>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0B3"/>
    <w:rsid w:val="00BE71DD"/>
    <w:rsid w:val="00BF20B8"/>
    <w:rsid w:val="00BF2BCA"/>
    <w:rsid w:val="00BF2DAB"/>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459"/>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15"/>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AEE"/>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46C"/>
    <w:rsid w:val="00FB5A70"/>
    <w:rsid w:val="00FC0689"/>
    <w:rsid w:val="00FC13F0"/>
    <w:rsid w:val="00FC337B"/>
    <w:rsid w:val="00FC5AA7"/>
    <w:rsid w:val="00FC6E48"/>
    <w:rsid w:val="00FC715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10A0"/>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apple-converted-space">
    <w:name w:val="apple-converted-space"/>
    <w:basedOn w:val="DefaultParagraphFont"/>
    <w:rsid w:val="008310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333341">
      <w:bodyDiv w:val="1"/>
      <w:marLeft w:val="0"/>
      <w:marRight w:val="0"/>
      <w:marTop w:val="0"/>
      <w:marBottom w:val="0"/>
      <w:divBdr>
        <w:top w:val="none" w:sz="0" w:space="0" w:color="auto"/>
        <w:left w:val="none" w:sz="0" w:space="0" w:color="auto"/>
        <w:bottom w:val="none" w:sz="0" w:space="0" w:color="auto"/>
        <w:right w:val="none" w:sz="0" w:space="0" w:color="auto"/>
      </w:divBdr>
    </w:div>
    <w:div w:id="225117346">
      <w:bodyDiv w:val="1"/>
      <w:marLeft w:val="0"/>
      <w:marRight w:val="0"/>
      <w:marTop w:val="0"/>
      <w:marBottom w:val="0"/>
      <w:divBdr>
        <w:top w:val="none" w:sz="0" w:space="0" w:color="auto"/>
        <w:left w:val="none" w:sz="0" w:space="0" w:color="auto"/>
        <w:bottom w:val="none" w:sz="0" w:space="0" w:color="auto"/>
        <w:right w:val="none" w:sz="0" w:space="0" w:color="auto"/>
      </w:divBdr>
    </w:div>
    <w:div w:id="409232079">
      <w:bodyDiv w:val="1"/>
      <w:marLeft w:val="0"/>
      <w:marRight w:val="0"/>
      <w:marTop w:val="0"/>
      <w:marBottom w:val="0"/>
      <w:divBdr>
        <w:top w:val="none" w:sz="0" w:space="0" w:color="auto"/>
        <w:left w:val="none" w:sz="0" w:space="0" w:color="auto"/>
        <w:bottom w:val="none" w:sz="0" w:space="0" w:color="auto"/>
        <w:right w:val="none" w:sz="0" w:space="0" w:color="auto"/>
      </w:divBdr>
      <w:divsChild>
        <w:div w:id="1664775674">
          <w:marLeft w:val="0"/>
          <w:marRight w:val="0"/>
          <w:marTop w:val="0"/>
          <w:marBottom w:val="0"/>
          <w:divBdr>
            <w:top w:val="none" w:sz="0" w:space="0" w:color="auto"/>
            <w:left w:val="none" w:sz="0" w:space="0" w:color="auto"/>
            <w:bottom w:val="none" w:sz="0" w:space="0" w:color="auto"/>
            <w:right w:val="none" w:sz="0" w:space="0" w:color="auto"/>
          </w:divBdr>
          <w:divsChild>
            <w:div w:id="328411702">
              <w:marLeft w:val="0"/>
              <w:marRight w:val="0"/>
              <w:marTop w:val="0"/>
              <w:marBottom w:val="0"/>
              <w:divBdr>
                <w:top w:val="none" w:sz="0" w:space="0" w:color="auto"/>
                <w:left w:val="none" w:sz="0" w:space="0" w:color="auto"/>
                <w:bottom w:val="none" w:sz="0" w:space="0" w:color="auto"/>
                <w:right w:val="none" w:sz="0" w:space="0" w:color="auto"/>
              </w:divBdr>
              <w:divsChild>
                <w:div w:id="1902981941">
                  <w:marLeft w:val="0"/>
                  <w:marRight w:val="0"/>
                  <w:marTop w:val="0"/>
                  <w:marBottom w:val="0"/>
                  <w:divBdr>
                    <w:top w:val="none" w:sz="0" w:space="0" w:color="auto"/>
                    <w:left w:val="none" w:sz="0" w:space="0" w:color="auto"/>
                    <w:bottom w:val="none" w:sz="0" w:space="0" w:color="auto"/>
                    <w:right w:val="none" w:sz="0" w:space="0" w:color="auto"/>
                  </w:divBdr>
                  <w:divsChild>
                    <w:div w:id="831918798">
                      <w:marLeft w:val="0"/>
                      <w:marRight w:val="0"/>
                      <w:marTop w:val="0"/>
                      <w:marBottom w:val="0"/>
                      <w:divBdr>
                        <w:top w:val="none" w:sz="0" w:space="0" w:color="auto"/>
                        <w:left w:val="none" w:sz="0" w:space="0" w:color="auto"/>
                        <w:bottom w:val="none" w:sz="0" w:space="0" w:color="auto"/>
                        <w:right w:val="none" w:sz="0" w:space="0" w:color="auto"/>
                      </w:divBdr>
                      <w:divsChild>
                        <w:div w:id="1993943568">
                          <w:marLeft w:val="0"/>
                          <w:marRight w:val="0"/>
                          <w:marTop w:val="0"/>
                          <w:marBottom w:val="0"/>
                          <w:divBdr>
                            <w:top w:val="none" w:sz="0" w:space="0" w:color="auto"/>
                            <w:left w:val="none" w:sz="0" w:space="0" w:color="auto"/>
                            <w:bottom w:val="none" w:sz="0" w:space="0" w:color="auto"/>
                            <w:right w:val="none" w:sz="0" w:space="0" w:color="auto"/>
                          </w:divBdr>
                          <w:divsChild>
                            <w:div w:id="1702783523">
                              <w:marLeft w:val="0"/>
                              <w:marRight w:val="0"/>
                              <w:marTop w:val="0"/>
                              <w:marBottom w:val="0"/>
                              <w:divBdr>
                                <w:top w:val="none" w:sz="0" w:space="0" w:color="auto"/>
                                <w:left w:val="none" w:sz="0" w:space="0" w:color="auto"/>
                                <w:bottom w:val="none" w:sz="0" w:space="0" w:color="auto"/>
                                <w:right w:val="none" w:sz="0" w:space="0" w:color="auto"/>
                              </w:divBdr>
                              <w:divsChild>
                                <w:div w:id="1238780409">
                                  <w:marLeft w:val="0"/>
                                  <w:marRight w:val="0"/>
                                  <w:marTop w:val="0"/>
                                  <w:marBottom w:val="0"/>
                                  <w:divBdr>
                                    <w:top w:val="none" w:sz="0" w:space="0" w:color="auto"/>
                                    <w:left w:val="none" w:sz="0" w:space="0" w:color="auto"/>
                                    <w:bottom w:val="none" w:sz="0" w:space="0" w:color="auto"/>
                                    <w:right w:val="none" w:sz="0" w:space="0" w:color="auto"/>
                                  </w:divBdr>
                                  <w:divsChild>
                                    <w:div w:id="182642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86642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3364405">
      <w:bodyDiv w:val="1"/>
      <w:marLeft w:val="0"/>
      <w:marRight w:val="0"/>
      <w:marTop w:val="0"/>
      <w:marBottom w:val="0"/>
      <w:divBdr>
        <w:top w:val="none" w:sz="0" w:space="0" w:color="auto"/>
        <w:left w:val="none" w:sz="0" w:space="0" w:color="auto"/>
        <w:bottom w:val="none" w:sz="0" w:space="0" w:color="auto"/>
        <w:right w:val="none" w:sz="0" w:space="0" w:color="auto"/>
      </w:divBdr>
      <w:divsChild>
        <w:div w:id="656692861">
          <w:marLeft w:val="0"/>
          <w:marRight w:val="0"/>
          <w:marTop w:val="0"/>
          <w:marBottom w:val="0"/>
          <w:divBdr>
            <w:top w:val="none" w:sz="0" w:space="0" w:color="auto"/>
            <w:left w:val="none" w:sz="0" w:space="0" w:color="auto"/>
            <w:bottom w:val="none" w:sz="0" w:space="0" w:color="auto"/>
            <w:right w:val="none" w:sz="0" w:space="0" w:color="auto"/>
          </w:divBdr>
          <w:divsChild>
            <w:div w:id="829757149">
              <w:marLeft w:val="0"/>
              <w:marRight w:val="0"/>
              <w:marTop w:val="0"/>
              <w:marBottom w:val="0"/>
              <w:divBdr>
                <w:top w:val="none" w:sz="0" w:space="0" w:color="auto"/>
                <w:left w:val="none" w:sz="0" w:space="0" w:color="auto"/>
                <w:bottom w:val="none" w:sz="0" w:space="0" w:color="auto"/>
                <w:right w:val="none" w:sz="0" w:space="0" w:color="auto"/>
              </w:divBdr>
              <w:divsChild>
                <w:div w:id="794638892">
                  <w:marLeft w:val="0"/>
                  <w:marRight w:val="0"/>
                  <w:marTop w:val="0"/>
                  <w:marBottom w:val="0"/>
                  <w:divBdr>
                    <w:top w:val="none" w:sz="0" w:space="0" w:color="auto"/>
                    <w:left w:val="none" w:sz="0" w:space="0" w:color="auto"/>
                    <w:bottom w:val="none" w:sz="0" w:space="0" w:color="auto"/>
                    <w:right w:val="none" w:sz="0" w:space="0" w:color="auto"/>
                  </w:divBdr>
                  <w:divsChild>
                    <w:div w:id="1599411900">
                      <w:marLeft w:val="0"/>
                      <w:marRight w:val="0"/>
                      <w:marTop w:val="0"/>
                      <w:marBottom w:val="0"/>
                      <w:divBdr>
                        <w:top w:val="none" w:sz="0" w:space="0" w:color="auto"/>
                        <w:left w:val="none" w:sz="0" w:space="0" w:color="auto"/>
                        <w:bottom w:val="none" w:sz="0" w:space="0" w:color="auto"/>
                        <w:right w:val="none" w:sz="0" w:space="0" w:color="auto"/>
                      </w:divBdr>
                      <w:divsChild>
                        <w:div w:id="2009482297">
                          <w:marLeft w:val="0"/>
                          <w:marRight w:val="0"/>
                          <w:marTop w:val="0"/>
                          <w:marBottom w:val="0"/>
                          <w:divBdr>
                            <w:top w:val="none" w:sz="0" w:space="0" w:color="auto"/>
                            <w:left w:val="none" w:sz="0" w:space="0" w:color="auto"/>
                            <w:bottom w:val="none" w:sz="0" w:space="0" w:color="auto"/>
                            <w:right w:val="none" w:sz="0" w:space="0" w:color="auto"/>
                          </w:divBdr>
                          <w:divsChild>
                            <w:div w:id="1316685924">
                              <w:marLeft w:val="0"/>
                              <w:marRight w:val="0"/>
                              <w:marTop w:val="0"/>
                              <w:marBottom w:val="0"/>
                              <w:divBdr>
                                <w:top w:val="none" w:sz="0" w:space="0" w:color="auto"/>
                                <w:left w:val="none" w:sz="0" w:space="0" w:color="auto"/>
                                <w:bottom w:val="none" w:sz="0" w:space="0" w:color="auto"/>
                                <w:right w:val="none" w:sz="0" w:space="0" w:color="auto"/>
                              </w:divBdr>
                              <w:divsChild>
                                <w:div w:id="1966276697">
                                  <w:marLeft w:val="0"/>
                                  <w:marRight w:val="0"/>
                                  <w:marTop w:val="0"/>
                                  <w:marBottom w:val="0"/>
                                  <w:divBdr>
                                    <w:top w:val="none" w:sz="0" w:space="0" w:color="auto"/>
                                    <w:left w:val="none" w:sz="0" w:space="0" w:color="auto"/>
                                    <w:bottom w:val="none" w:sz="0" w:space="0" w:color="auto"/>
                                    <w:right w:val="none" w:sz="0" w:space="0" w:color="auto"/>
                                  </w:divBdr>
                                  <w:divsChild>
                                    <w:div w:id="155249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165240">
      <w:bodyDiv w:val="1"/>
      <w:marLeft w:val="0"/>
      <w:marRight w:val="0"/>
      <w:marTop w:val="0"/>
      <w:marBottom w:val="0"/>
      <w:divBdr>
        <w:top w:val="none" w:sz="0" w:space="0" w:color="auto"/>
        <w:left w:val="none" w:sz="0" w:space="0" w:color="auto"/>
        <w:bottom w:val="none" w:sz="0" w:space="0" w:color="auto"/>
        <w:right w:val="none" w:sz="0" w:space="0" w:color="auto"/>
      </w:divBdr>
      <w:divsChild>
        <w:div w:id="390007506">
          <w:marLeft w:val="0"/>
          <w:marRight w:val="0"/>
          <w:marTop w:val="0"/>
          <w:marBottom w:val="0"/>
          <w:divBdr>
            <w:top w:val="none" w:sz="0" w:space="0" w:color="auto"/>
            <w:left w:val="none" w:sz="0" w:space="0" w:color="auto"/>
            <w:bottom w:val="none" w:sz="0" w:space="0" w:color="auto"/>
            <w:right w:val="none" w:sz="0" w:space="0" w:color="auto"/>
          </w:divBdr>
          <w:divsChild>
            <w:div w:id="1829663569">
              <w:marLeft w:val="0"/>
              <w:marRight w:val="0"/>
              <w:marTop w:val="0"/>
              <w:marBottom w:val="0"/>
              <w:divBdr>
                <w:top w:val="none" w:sz="0" w:space="0" w:color="auto"/>
                <w:left w:val="none" w:sz="0" w:space="0" w:color="auto"/>
                <w:bottom w:val="none" w:sz="0" w:space="0" w:color="auto"/>
                <w:right w:val="none" w:sz="0" w:space="0" w:color="auto"/>
              </w:divBdr>
              <w:divsChild>
                <w:div w:id="837185380">
                  <w:marLeft w:val="0"/>
                  <w:marRight w:val="0"/>
                  <w:marTop w:val="0"/>
                  <w:marBottom w:val="0"/>
                  <w:divBdr>
                    <w:top w:val="none" w:sz="0" w:space="0" w:color="auto"/>
                    <w:left w:val="none" w:sz="0" w:space="0" w:color="auto"/>
                    <w:bottom w:val="none" w:sz="0" w:space="0" w:color="auto"/>
                    <w:right w:val="none" w:sz="0" w:space="0" w:color="auto"/>
                  </w:divBdr>
                  <w:divsChild>
                    <w:div w:id="638195224">
                      <w:marLeft w:val="0"/>
                      <w:marRight w:val="0"/>
                      <w:marTop w:val="0"/>
                      <w:marBottom w:val="0"/>
                      <w:divBdr>
                        <w:top w:val="none" w:sz="0" w:space="0" w:color="auto"/>
                        <w:left w:val="none" w:sz="0" w:space="0" w:color="auto"/>
                        <w:bottom w:val="none" w:sz="0" w:space="0" w:color="auto"/>
                        <w:right w:val="none" w:sz="0" w:space="0" w:color="auto"/>
                      </w:divBdr>
                      <w:divsChild>
                        <w:div w:id="715617035">
                          <w:marLeft w:val="0"/>
                          <w:marRight w:val="0"/>
                          <w:marTop w:val="0"/>
                          <w:marBottom w:val="0"/>
                          <w:divBdr>
                            <w:top w:val="none" w:sz="0" w:space="0" w:color="auto"/>
                            <w:left w:val="none" w:sz="0" w:space="0" w:color="auto"/>
                            <w:bottom w:val="none" w:sz="0" w:space="0" w:color="auto"/>
                            <w:right w:val="none" w:sz="0" w:space="0" w:color="auto"/>
                          </w:divBdr>
                          <w:divsChild>
                            <w:div w:id="1543900626">
                              <w:marLeft w:val="0"/>
                              <w:marRight w:val="0"/>
                              <w:marTop w:val="0"/>
                              <w:marBottom w:val="0"/>
                              <w:divBdr>
                                <w:top w:val="none" w:sz="0" w:space="0" w:color="auto"/>
                                <w:left w:val="none" w:sz="0" w:space="0" w:color="auto"/>
                                <w:bottom w:val="none" w:sz="0" w:space="0" w:color="auto"/>
                                <w:right w:val="none" w:sz="0" w:space="0" w:color="auto"/>
                              </w:divBdr>
                              <w:divsChild>
                                <w:div w:id="1697349563">
                                  <w:marLeft w:val="0"/>
                                  <w:marRight w:val="0"/>
                                  <w:marTop w:val="0"/>
                                  <w:marBottom w:val="0"/>
                                  <w:divBdr>
                                    <w:top w:val="none" w:sz="0" w:space="0" w:color="auto"/>
                                    <w:left w:val="none" w:sz="0" w:space="0" w:color="auto"/>
                                    <w:bottom w:val="none" w:sz="0" w:space="0" w:color="auto"/>
                                    <w:right w:val="none" w:sz="0" w:space="0" w:color="auto"/>
                                  </w:divBdr>
                                  <w:divsChild>
                                    <w:div w:id="134343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056284">
      <w:bodyDiv w:val="1"/>
      <w:marLeft w:val="0"/>
      <w:marRight w:val="0"/>
      <w:marTop w:val="0"/>
      <w:marBottom w:val="0"/>
      <w:divBdr>
        <w:top w:val="none" w:sz="0" w:space="0" w:color="auto"/>
        <w:left w:val="none" w:sz="0" w:space="0" w:color="auto"/>
        <w:bottom w:val="none" w:sz="0" w:space="0" w:color="auto"/>
        <w:right w:val="none" w:sz="0" w:space="0" w:color="auto"/>
      </w:divBdr>
      <w:divsChild>
        <w:div w:id="1551521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121895">
      <w:bodyDiv w:val="1"/>
      <w:marLeft w:val="0"/>
      <w:marRight w:val="0"/>
      <w:marTop w:val="0"/>
      <w:marBottom w:val="0"/>
      <w:divBdr>
        <w:top w:val="none" w:sz="0" w:space="0" w:color="auto"/>
        <w:left w:val="none" w:sz="0" w:space="0" w:color="auto"/>
        <w:bottom w:val="none" w:sz="0" w:space="0" w:color="auto"/>
        <w:right w:val="none" w:sz="0" w:space="0" w:color="auto"/>
      </w:divBdr>
    </w:div>
    <w:div w:id="1658341566">
      <w:bodyDiv w:val="1"/>
      <w:marLeft w:val="0"/>
      <w:marRight w:val="0"/>
      <w:marTop w:val="0"/>
      <w:marBottom w:val="0"/>
      <w:divBdr>
        <w:top w:val="none" w:sz="0" w:space="0" w:color="auto"/>
        <w:left w:val="none" w:sz="0" w:space="0" w:color="auto"/>
        <w:bottom w:val="none" w:sz="0" w:space="0" w:color="auto"/>
        <w:right w:val="none" w:sz="0" w:space="0" w:color="auto"/>
      </w:divBdr>
      <w:divsChild>
        <w:div w:id="303126400">
          <w:marLeft w:val="0"/>
          <w:marRight w:val="0"/>
          <w:marTop w:val="0"/>
          <w:marBottom w:val="0"/>
          <w:divBdr>
            <w:top w:val="none" w:sz="0" w:space="0" w:color="auto"/>
            <w:left w:val="none" w:sz="0" w:space="0" w:color="auto"/>
            <w:bottom w:val="none" w:sz="0" w:space="0" w:color="auto"/>
            <w:right w:val="none" w:sz="0" w:space="0" w:color="auto"/>
          </w:divBdr>
          <w:divsChild>
            <w:div w:id="556361759">
              <w:marLeft w:val="0"/>
              <w:marRight w:val="0"/>
              <w:marTop w:val="0"/>
              <w:marBottom w:val="0"/>
              <w:divBdr>
                <w:top w:val="none" w:sz="0" w:space="0" w:color="auto"/>
                <w:left w:val="none" w:sz="0" w:space="0" w:color="auto"/>
                <w:bottom w:val="none" w:sz="0" w:space="0" w:color="auto"/>
                <w:right w:val="none" w:sz="0" w:space="0" w:color="auto"/>
              </w:divBdr>
              <w:divsChild>
                <w:div w:id="1493528331">
                  <w:marLeft w:val="0"/>
                  <w:marRight w:val="0"/>
                  <w:marTop w:val="0"/>
                  <w:marBottom w:val="0"/>
                  <w:divBdr>
                    <w:top w:val="none" w:sz="0" w:space="0" w:color="auto"/>
                    <w:left w:val="none" w:sz="0" w:space="0" w:color="auto"/>
                    <w:bottom w:val="none" w:sz="0" w:space="0" w:color="auto"/>
                    <w:right w:val="none" w:sz="0" w:space="0" w:color="auto"/>
                  </w:divBdr>
                  <w:divsChild>
                    <w:div w:id="414666366">
                      <w:marLeft w:val="0"/>
                      <w:marRight w:val="0"/>
                      <w:marTop w:val="0"/>
                      <w:marBottom w:val="0"/>
                      <w:divBdr>
                        <w:top w:val="none" w:sz="0" w:space="0" w:color="auto"/>
                        <w:left w:val="none" w:sz="0" w:space="0" w:color="auto"/>
                        <w:bottom w:val="none" w:sz="0" w:space="0" w:color="auto"/>
                        <w:right w:val="none" w:sz="0" w:space="0" w:color="auto"/>
                      </w:divBdr>
                      <w:divsChild>
                        <w:div w:id="371341860">
                          <w:marLeft w:val="0"/>
                          <w:marRight w:val="0"/>
                          <w:marTop w:val="0"/>
                          <w:marBottom w:val="0"/>
                          <w:divBdr>
                            <w:top w:val="none" w:sz="0" w:space="0" w:color="auto"/>
                            <w:left w:val="none" w:sz="0" w:space="0" w:color="auto"/>
                            <w:bottom w:val="none" w:sz="0" w:space="0" w:color="auto"/>
                            <w:right w:val="none" w:sz="0" w:space="0" w:color="auto"/>
                          </w:divBdr>
                          <w:divsChild>
                            <w:div w:id="910962068">
                              <w:marLeft w:val="0"/>
                              <w:marRight w:val="0"/>
                              <w:marTop w:val="0"/>
                              <w:marBottom w:val="0"/>
                              <w:divBdr>
                                <w:top w:val="none" w:sz="0" w:space="0" w:color="auto"/>
                                <w:left w:val="none" w:sz="0" w:space="0" w:color="auto"/>
                                <w:bottom w:val="none" w:sz="0" w:space="0" w:color="auto"/>
                                <w:right w:val="none" w:sz="0" w:space="0" w:color="auto"/>
                              </w:divBdr>
                              <w:divsChild>
                                <w:div w:id="1374690511">
                                  <w:marLeft w:val="0"/>
                                  <w:marRight w:val="0"/>
                                  <w:marTop w:val="0"/>
                                  <w:marBottom w:val="0"/>
                                  <w:divBdr>
                                    <w:top w:val="none" w:sz="0" w:space="0" w:color="auto"/>
                                    <w:left w:val="none" w:sz="0" w:space="0" w:color="auto"/>
                                    <w:bottom w:val="none" w:sz="0" w:space="0" w:color="auto"/>
                                    <w:right w:val="none" w:sz="0" w:space="0" w:color="auto"/>
                                  </w:divBdr>
                                  <w:divsChild>
                                    <w:div w:id="164719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033219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332924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81703/https://jdih.maritim.go.id/menko-marves-bentuk-struktur-dan-tata-kerja-komite-pengarah-penyelenggaran-nilai-ekonomi-karbo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81338/https://peraturan.bpk.go.id/Download/211495/pmmarves5_202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Pages>
  <Words>22411</Words>
  <Characters>127744</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5</cp:revision>
  <cp:lastPrinted>2025-03-21T00:14:00Z</cp:lastPrinted>
  <dcterms:created xsi:type="dcterms:W3CDTF">2025-06-29T07:41:00Z</dcterms:created>
  <dcterms:modified xsi:type="dcterms:W3CDTF">2025-07-04T12:25:00Z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